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kinsoku/>
        <w:wordWrap/>
        <w:overflowPunct/>
        <w:topLinePunct w:val="0"/>
        <w:autoSpaceDE/>
        <w:autoSpaceDN/>
        <w:bidi w:val="0"/>
        <w:adjustRightInd w:val="0"/>
        <w:snapToGrid w:val="0"/>
        <w:spacing w:line="560" w:lineRule="exact"/>
        <w:jc w:val="both"/>
        <w:textAlignment w:val="auto"/>
        <w:rPr>
          <w:rFonts w:hint="eastAsia" w:ascii="方正小标宋简体" w:hAnsi="方正小标宋简体" w:eastAsia="方正小标宋简体" w:cs="方正小标宋简体"/>
          <w:b/>
          <w:bCs/>
          <w:color w:val="000000"/>
          <w:kern w:val="0"/>
          <w:sz w:val="44"/>
          <w:szCs w:val="44"/>
          <w:highlight w:val="none"/>
          <w:lang w:val="en-US" w:eastAsia="zh-CN"/>
        </w:rPr>
      </w:pPr>
      <w:r>
        <w:rPr>
          <w:rFonts w:hint="eastAsia" w:ascii="仿宋" w:hAnsi="仿宋" w:eastAsia="仿宋" w:cs="仿宋"/>
          <w:b w:val="0"/>
          <w:bCs/>
          <w:spacing w:val="24"/>
          <w:sz w:val="28"/>
          <w:szCs w:val="28"/>
          <w:lang w:eastAsia="zh-CN"/>
        </w:rPr>
        <w:t>附件</w:t>
      </w:r>
      <w:r>
        <w:rPr>
          <w:rFonts w:hint="eastAsia" w:ascii="仿宋" w:hAnsi="仿宋" w:eastAsia="仿宋" w:cs="仿宋"/>
          <w:b w:val="0"/>
          <w:bCs/>
          <w:spacing w:val="24"/>
          <w:sz w:val="28"/>
          <w:szCs w:val="28"/>
          <w:lang w:val="en-US" w:eastAsia="zh-CN"/>
        </w:rPr>
        <w:t>二</w:t>
      </w:r>
      <w:r>
        <w:rPr>
          <w:rFonts w:hint="eastAsia" w:ascii="方正小标宋简体" w:hAnsi="方正小标宋简体" w:eastAsia="方正小标宋简体" w:cs="方正小标宋简体"/>
          <w:b/>
          <w:bCs/>
          <w:color w:val="000000"/>
          <w:kern w:val="0"/>
          <w:sz w:val="44"/>
          <w:szCs w:val="44"/>
          <w:highlight w:val="none"/>
          <w:lang w:val="en-US" w:eastAsia="zh-CN"/>
        </w:rPr>
        <w:t xml:space="preserve">          告 知 书</w:t>
      </w:r>
    </w:p>
    <w:p>
      <w:pPr>
        <w:keepNext w:val="0"/>
        <w:keepLines w:val="0"/>
        <w:pageBreakBefore w:val="0"/>
        <w:widowControl/>
        <w:kinsoku/>
        <w:wordWrap/>
        <w:overflowPunct/>
        <w:topLinePunct w:val="0"/>
        <w:autoSpaceDE/>
        <w:autoSpaceDN/>
        <w:bidi w:val="0"/>
        <w:adjustRightInd w:val="0"/>
        <w:snapToGrid w:val="0"/>
        <w:spacing w:line="560" w:lineRule="exact"/>
        <w:ind w:firstLine="640" w:firstLineChars="200"/>
        <w:jc w:val="both"/>
        <w:textAlignment w:val="auto"/>
        <w:rPr>
          <w:rFonts w:hint="eastAsia" w:ascii="仿宋_GB2312" w:hAnsi="仿宋_GB2312" w:eastAsia="仿宋_GB2312" w:cs="仿宋_GB2312"/>
          <w:color w:val="000000"/>
          <w:kern w:val="0"/>
          <w:sz w:val="32"/>
          <w:szCs w:val="32"/>
          <w:highlight w:val="none"/>
          <w:lang w:val="en-US" w:eastAsia="zh-CN"/>
        </w:rPr>
      </w:pPr>
    </w:p>
    <w:p>
      <w:pPr>
        <w:keepNext w:val="0"/>
        <w:keepLines w:val="0"/>
        <w:pageBreakBefore w:val="0"/>
        <w:widowControl/>
        <w:kinsoku/>
        <w:wordWrap/>
        <w:overflowPunct/>
        <w:topLinePunct w:val="0"/>
        <w:autoSpaceDE/>
        <w:autoSpaceDN/>
        <w:bidi w:val="0"/>
        <w:adjustRightInd w:val="0"/>
        <w:snapToGrid w:val="0"/>
        <w:spacing w:line="500" w:lineRule="exact"/>
        <w:ind w:firstLine="640" w:firstLineChars="200"/>
        <w:jc w:val="both"/>
        <w:textAlignment w:val="auto"/>
        <w:rPr>
          <w:rFonts w:hint="eastAsia" w:ascii="仿宋_GB2312" w:hAnsi="仿宋_GB2312" w:eastAsia="仿宋_GB2312" w:cs="仿宋_GB2312"/>
          <w:b/>
          <w:bCs/>
          <w:sz w:val="32"/>
          <w:szCs w:val="32"/>
          <w:highlight w:val="none"/>
        </w:rPr>
      </w:pPr>
      <w:r>
        <w:rPr>
          <w:rFonts w:hint="eastAsia" w:ascii="仿宋_GB2312" w:hAnsi="仿宋_GB2312" w:eastAsia="仿宋_GB2312" w:cs="仿宋_GB2312"/>
          <w:color w:val="000000"/>
          <w:kern w:val="0"/>
          <w:sz w:val="32"/>
          <w:szCs w:val="32"/>
          <w:highlight w:val="none"/>
          <w:lang w:val="en-US" w:eastAsia="zh-CN"/>
        </w:rPr>
        <w:t>根据《关于做好2022年全国硕士研究生招生录取工作的通知》精神，结合我院实际，经学院研究生复试录取工作领导小组决定，现将昌吉学院2022年硕士研究生招生考试中关于享受少数民族照顾政策的一志愿考生的相关要求告知如下：</w:t>
      </w:r>
    </w:p>
    <w:p>
      <w:pPr>
        <w:keepNext w:val="0"/>
        <w:keepLines w:val="0"/>
        <w:pageBreakBefore w:val="0"/>
        <w:widowControl/>
        <w:numPr>
          <w:ilvl w:val="0"/>
          <w:numId w:val="0"/>
        </w:numPr>
        <w:kinsoku/>
        <w:wordWrap/>
        <w:overflowPunct/>
        <w:topLinePunct w:val="0"/>
        <w:autoSpaceDE/>
        <w:autoSpaceDN/>
        <w:bidi w:val="0"/>
        <w:adjustRightInd w:val="0"/>
        <w:snapToGrid w:val="0"/>
        <w:spacing w:line="500" w:lineRule="exact"/>
        <w:ind w:firstLine="643" w:firstLineChars="200"/>
        <w:jc w:val="both"/>
        <w:textAlignment w:val="auto"/>
        <w:rPr>
          <w:rFonts w:hint="eastAsia" w:ascii="仿宋_GB2312" w:hAnsi="仿宋_GB2312" w:eastAsia="仿宋_GB2312" w:cs="仿宋_GB2312"/>
          <w:b/>
          <w:bCs/>
          <w:color w:val="000000"/>
          <w:kern w:val="0"/>
          <w:sz w:val="32"/>
          <w:szCs w:val="32"/>
          <w:highlight w:val="none"/>
          <w:lang w:val="en-US" w:eastAsia="zh-CN"/>
        </w:rPr>
      </w:pPr>
      <w:r>
        <w:rPr>
          <w:rFonts w:hint="eastAsia" w:ascii="仿宋_GB2312" w:hAnsi="仿宋_GB2312" w:eastAsia="仿宋_GB2312" w:cs="仿宋_GB2312"/>
          <w:b/>
          <w:bCs/>
          <w:color w:val="000000"/>
          <w:kern w:val="0"/>
          <w:sz w:val="32"/>
          <w:szCs w:val="32"/>
          <w:highlight w:val="none"/>
          <w:lang w:val="en-US" w:eastAsia="zh-CN"/>
        </w:rPr>
        <w:t>一、进入复试的基本条件</w:t>
      </w:r>
      <w:bookmarkStart w:id="0" w:name="_GoBack"/>
      <w:bookmarkEnd w:id="0"/>
    </w:p>
    <w:p>
      <w:pPr>
        <w:keepNext w:val="0"/>
        <w:keepLines w:val="0"/>
        <w:pageBreakBefore w:val="0"/>
        <w:widowControl/>
        <w:numPr>
          <w:ilvl w:val="0"/>
          <w:numId w:val="0"/>
        </w:numPr>
        <w:kinsoku/>
        <w:wordWrap/>
        <w:overflowPunct/>
        <w:topLinePunct w:val="0"/>
        <w:autoSpaceDE/>
        <w:autoSpaceDN/>
        <w:bidi w:val="0"/>
        <w:adjustRightInd w:val="0"/>
        <w:snapToGrid w:val="0"/>
        <w:spacing w:line="500" w:lineRule="exact"/>
        <w:ind w:firstLine="640" w:firstLineChars="200"/>
        <w:jc w:val="both"/>
        <w:textAlignment w:val="auto"/>
        <w:rPr>
          <w:rFonts w:hint="eastAsia" w:ascii="仿宋_GB2312" w:hAnsi="仿宋_GB2312" w:eastAsia="仿宋_GB2312" w:cs="仿宋_GB2312"/>
          <w:color w:val="000000"/>
          <w:kern w:val="0"/>
          <w:sz w:val="32"/>
          <w:szCs w:val="32"/>
          <w:highlight w:val="none"/>
          <w:lang w:val="en-US" w:eastAsia="zh-CN"/>
        </w:rPr>
      </w:pPr>
      <w:r>
        <w:rPr>
          <w:rFonts w:hint="eastAsia" w:ascii="仿宋_GB2312" w:hAnsi="仿宋_GB2312" w:eastAsia="仿宋_GB2312" w:cs="仿宋_GB2312"/>
          <w:color w:val="000000"/>
          <w:kern w:val="0"/>
          <w:sz w:val="32"/>
          <w:szCs w:val="32"/>
          <w:highlight w:val="none"/>
          <w:lang w:val="en-US" w:eastAsia="zh-CN"/>
        </w:rPr>
        <w:t>享受少数民族照顾政策的一志愿考生，必须是毕业后在国务院公布的民族区域自治地方定向就业的少数民族普通高校应届本科毕业生考生；或者工作单位和户籍在国务院公布的民族区域自治地方，且定向就业单位为原单位的少数民族在职人员考生。</w:t>
      </w:r>
    </w:p>
    <w:p>
      <w:pPr>
        <w:keepNext w:val="0"/>
        <w:keepLines w:val="0"/>
        <w:pageBreakBefore w:val="0"/>
        <w:widowControl/>
        <w:numPr>
          <w:ilvl w:val="0"/>
          <w:numId w:val="0"/>
        </w:numPr>
        <w:kinsoku/>
        <w:wordWrap/>
        <w:overflowPunct/>
        <w:topLinePunct w:val="0"/>
        <w:autoSpaceDE/>
        <w:autoSpaceDN/>
        <w:bidi w:val="0"/>
        <w:adjustRightInd w:val="0"/>
        <w:snapToGrid w:val="0"/>
        <w:spacing w:line="500" w:lineRule="exact"/>
        <w:ind w:firstLine="643" w:firstLineChars="200"/>
        <w:jc w:val="both"/>
        <w:textAlignment w:val="auto"/>
        <w:rPr>
          <w:rFonts w:hint="default" w:ascii="仿宋_GB2312" w:hAnsi="仿宋_GB2312" w:eastAsia="仿宋_GB2312" w:cs="仿宋_GB2312"/>
          <w:b/>
          <w:bCs/>
          <w:color w:val="000000"/>
          <w:kern w:val="0"/>
          <w:sz w:val="32"/>
          <w:szCs w:val="32"/>
          <w:highlight w:val="none"/>
          <w:lang w:val="en-US" w:eastAsia="zh-CN"/>
        </w:rPr>
      </w:pPr>
      <w:r>
        <w:rPr>
          <w:rFonts w:hint="eastAsia" w:ascii="仿宋_GB2312" w:hAnsi="仿宋_GB2312" w:eastAsia="仿宋_GB2312" w:cs="仿宋_GB2312"/>
          <w:b/>
          <w:bCs/>
          <w:color w:val="000000"/>
          <w:kern w:val="0"/>
          <w:sz w:val="32"/>
          <w:szCs w:val="32"/>
          <w:highlight w:val="none"/>
          <w:lang w:val="en-US" w:eastAsia="zh-CN"/>
        </w:rPr>
        <w:t>二、考生需提供的资料</w:t>
      </w:r>
    </w:p>
    <w:p>
      <w:pPr>
        <w:keepNext w:val="0"/>
        <w:keepLines w:val="0"/>
        <w:pageBreakBefore w:val="0"/>
        <w:widowControl/>
        <w:numPr>
          <w:ilvl w:val="0"/>
          <w:numId w:val="0"/>
        </w:numPr>
        <w:kinsoku/>
        <w:wordWrap/>
        <w:overflowPunct/>
        <w:topLinePunct w:val="0"/>
        <w:autoSpaceDE/>
        <w:autoSpaceDN/>
        <w:bidi w:val="0"/>
        <w:adjustRightInd w:val="0"/>
        <w:snapToGrid w:val="0"/>
        <w:spacing w:line="500" w:lineRule="exact"/>
        <w:ind w:firstLine="640" w:firstLineChars="200"/>
        <w:jc w:val="both"/>
        <w:textAlignment w:val="auto"/>
        <w:rPr>
          <w:rFonts w:hint="eastAsia" w:ascii="仿宋_GB2312" w:hAnsi="仿宋_GB2312" w:eastAsia="仿宋_GB2312" w:cs="仿宋_GB2312"/>
          <w:color w:val="000000"/>
          <w:kern w:val="0"/>
          <w:sz w:val="32"/>
          <w:szCs w:val="32"/>
          <w:highlight w:val="none"/>
          <w:lang w:val="en-US" w:eastAsia="zh-CN"/>
        </w:rPr>
      </w:pPr>
      <w:r>
        <w:rPr>
          <w:rFonts w:hint="eastAsia" w:ascii="仿宋_GB2312" w:hAnsi="仿宋_GB2312" w:eastAsia="仿宋_GB2312" w:cs="仿宋_GB2312"/>
          <w:color w:val="000000"/>
          <w:kern w:val="0"/>
          <w:sz w:val="32"/>
          <w:szCs w:val="32"/>
          <w:highlight w:val="none"/>
          <w:lang w:val="en-US" w:eastAsia="zh-CN"/>
        </w:rPr>
        <w:t>1.应届考生：需提供户籍证明。</w:t>
      </w:r>
    </w:p>
    <w:p>
      <w:pPr>
        <w:keepNext w:val="0"/>
        <w:keepLines w:val="0"/>
        <w:pageBreakBefore w:val="0"/>
        <w:widowControl/>
        <w:numPr>
          <w:ilvl w:val="0"/>
          <w:numId w:val="0"/>
        </w:numPr>
        <w:kinsoku/>
        <w:wordWrap/>
        <w:overflowPunct/>
        <w:topLinePunct w:val="0"/>
        <w:autoSpaceDE/>
        <w:autoSpaceDN/>
        <w:bidi w:val="0"/>
        <w:adjustRightInd w:val="0"/>
        <w:snapToGrid w:val="0"/>
        <w:spacing w:line="500" w:lineRule="exact"/>
        <w:ind w:firstLine="640" w:firstLineChars="200"/>
        <w:jc w:val="both"/>
        <w:textAlignment w:val="auto"/>
        <w:rPr>
          <w:rFonts w:hint="eastAsia" w:ascii="仿宋_GB2312" w:hAnsi="仿宋_GB2312" w:eastAsia="仿宋_GB2312" w:cs="仿宋_GB2312"/>
          <w:color w:val="000000"/>
          <w:kern w:val="0"/>
          <w:sz w:val="32"/>
          <w:szCs w:val="32"/>
          <w:highlight w:val="none"/>
          <w:lang w:val="en-US" w:eastAsia="zh-CN"/>
        </w:rPr>
      </w:pPr>
      <w:r>
        <w:rPr>
          <w:rFonts w:hint="eastAsia" w:ascii="仿宋_GB2312" w:hAnsi="仿宋_GB2312" w:eastAsia="仿宋_GB2312" w:cs="仿宋_GB2312"/>
          <w:color w:val="000000"/>
          <w:kern w:val="0"/>
          <w:sz w:val="32"/>
          <w:szCs w:val="32"/>
          <w:highlight w:val="none"/>
          <w:lang w:val="en-US" w:eastAsia="zh-CN"/>
        </w:rPr>
        <w:t>2.在职考生：需提供户籍证明及定向就业单位的人事聘用合同及近半年的社保缴纳证明。</w:t>
      </w:r>
    </w:p>
    <w:p>
      <w:pPr>
        <w:keepNext w:val="0"/>
        <w:keepLines w:val="0"/>
        <w:pageBreakBefore w:val="0"/>
        <w:widowControl/>
        <w:numPr>
          <w:ilvl w:val="0"/>
          <w:numId w:val="0"/>
        </w:numPr>
        <w:kinsoku/>
        <w:wordWrap/>
        <w:overflowPunct/>
        <w:topLinePunct w:val="0"/>
        <w:autoSpaceDE/>
        <w:autoSpaceDN/>
        <w:bidi w:val="0"/>
        <w:adjustRightInd w:val="0"/>
        <w:snapToGrid w:val="0"/>
        <w:spacing w:line="500" w:lineRule="exact"/>
        <w:ind w:firstLine="643" w:firstLineChars="200"/>
        <w:jc w:val="both"/>
        <w:textAlignment w:val="auto"/>
        <w:rPr>
          <w:rFonts w:hint="default" w:ascii="仿宋_GB2312" w:hAnsi="仿宋_GB2312" w:eastAsia="仿宋_GB2312" w:cs="仿宋_GB2312"/>
          <w:b/>
          <w:bCs/>
          <w:color w:val="000000"/>
          <w:kern w:val="0"/>
          <w:sz w:val="32"/>
          <w:szCs w:val="32"/>
          <w:highlight w:val="none"/>
          <w:lang w:val="en-US" w:eastAsia="zh-CN"/>
        </w:rPr>
      </w:pPr>
      <w:r>
        <w:rPr>
          <w:rFonts w:hint="eastAsia" w:ascii="仿宋_GB2312" w:hAnsi="仿宋_GB2312" w:eastAsia="仿宋_GB2312" w:cs="仿宋_GB2312"/>
          <w:b/>
          <w:bCs/>
          <w:color w:val="000000"/>
          <w:kern w:val="0"/>
          <w:sz w:val="32"/>
          <w:szCs w:val="32"/>
          <w:highlight w:val="none"/>
          <w:lang w:val="en-US" w:eastAsia="zh-CN"/>
        </w:rPr>
        <w:t>三、考生须知</w:t>
      </w:r>
    </w:p>
    <w:p>
      <w:pPr>
        <w:keepNext w:val="0"/>
        <w:keepLines w:val="0"/>
        <w:pageBreakBefore w:val="0"/>
        <w:widowControl/>
        <w:kinsoku/>
        <w:wordWrap/>
        <w:overflowPunct/>
        <w:topLinePunct w:val="0"/>
        <w:autoSpaceDE/>
        <w:autoSpaceDN/>
        <w:bidi w:val="0"/>
        <w:adjustRightInd/>
        <w:snapToGrid/>
        <w:spacing w:line="500" w:lineRule="exact"/>
        <w:ind w:firstLine="640" w:firstLineChars="200"/>
        <w:jc w:val="both"/>
        <w:textAlignment w:val="auto"/>
        <w:rPr>
          <w:rFonts w:hint="eastAsia" w:ascii="仿宋_GB2312" w:hAnsi="仿宋_GB2312" w:eastAsia="仿宋_GB2312" w:cs="仿宋_GB2312"/>
          <w:color w:val="000000"/>
          <w:kern w:val="0"/>
          <w:sz w:val="32"/>
          <w:szCs w:val="32"/>
          <w:highlight w:val="none"/>
          <w:lang w:val="en-US" w:eastAsia="zh-CN"/>
        </w:rPr>
      </w:pPr>
      <w:r>
        <w:rPr>
          <w:rFonts w:hint="eastAsia" w:ascii="仿宋_GB2312" w:hAnsi="仿宋_GB2312" w:eastAsia="仿宋_GB2312" w:cs="仿宋_GB2312"/>
          <w:color w:val="000000"/>
          <w:kern w:val="0"/>
          <w:sz w:val="32"/>
          <w:szCs w:val="32"/>
          <w:highlight w:val="none"/>
          <w:lang w:val="en-US" w:eastAsia="zh-CN"/>
        </w:rPr>
        <w:t>1.享受少数民族照顾政策的一志愿考生，提交上述材料可进入复试环节，但考生最终成绩，需与其他一志愿考生进行排名，视成绩排名情况确定是否录取。</w:t>
      </w:r>
    </w:p>
    <w:p>
      <w:pPr>
        <w:keepNext w:val="0"/>
        <w:keepLines w:val="0"/>
        <w:pageBreakBefore w:val="0"/>
        <w:widowControl/>
        <w:kinsoku/>
        <w:wordWrap/>
        <w:overflowPunct/>
        <w:topLinePunct w:val="0"/>
        <w:autoSpaceDE/>
        <w:autoSpaceDN/>
        <w:bidi w:val="0"/>
        <w:adjustRightInd/>
        <w:snapToGrid/>
        <w:spacing w:line="500" w:lineRule="exact"/>
        <w:ind w:firstLine="640" w:firstLineChars="200"/>
        <w:jc w:val="both"/>
        <w:textAlignment w:val="auto"/>
        <w:rPr>
          <w:rFonts w:hint="eastAsia" w:ascii="仿宋_GB2312" w:hAnsi="仿宋_GB2312" w:eastAsia="仿宋_GB2312" w:cs="仿宋_GB2312"/>
          <w:color w:val="000000"/>
          <w:kern w:val="0"/>
          <w:sz w:val="32"/>
          <w:szCs w:val="32"/>
          <w:highlight w:val="none"/>
          <w:lang w:val="en-US" w:eastAsia="zh-CN"/>
        </w:rPr>
      </w:pPr>
      <w:r>
        <w:rPr>
          <w:rFonts w:hint="eastAsia" w:ascii="仿宋_GB2312" w:hAnsi="仿宋_GB2312" w:eastAsia="仿宋_GB2312" w:cs="仿宋_GB2312"/>
          <w:color w:val="000000"/>
          <w:kern w:val="0"/>
          <w:sz w:val="32"/>
          <w:szCs w:val="32"/>
          <w:highlight w:val="none"/>
          <w:lang w:val="en-US" w:eastAsia="zh-CN"/>
        </w:rPr>
        <w:t>2.考生未能在此告知书送达7日内提供相关证明资料的，视为自愿放弃资格，不予录取。</w:t>
      </w:r>
    </w:p>
    <w:p>
      <w:pPr>
        <w:keepNext w:val="0"/>
        <w:keepLines w:val="0"/>
        <w:pageBreakBefore w:val="0"/>
        <w:widowControl/>
        <w:kinsoku/>
        <w:wordWrap/>
        <w:overflowPunct/>
        <w:topLinePunct w:val="0"/>
        <w:autoSpaceDE/>
        <w:autoSpaceDN/>
        <w:bidi w:val="0"/>
        <w:adjustRightInd/>
        <w:snapToGrid/>
        <w:spacing w:line="500" w:lineRule="exact"/>
        <w:ind w:firstLine="640" w:firstLineChars="200"/>
        <w:jc w:val="both"/>
        <w:textAlignment w:val="auto"/>
        <w:rPr>
          <w:rFonts w:hint="eastAsia" w:ascii="仿宋_GB2312" w:hAnsi="仿宋_GB2312" w:eastAsia="仿宋_GB2312" w:cs="仿宋_GB2312"/>
          <w:color w:val="000000"/>
          <w:kern w:val="0"/>
          <w:sz w:val="32"/>
          <w:szCs w:val="32"/>
          <w:highlight w:val="none"/>
          <w:lang w:val="en-US" w:eastAsia="zh-CN"/>
        </w:rPr>
      </w:pPr>
      <w:r>
        <w:rPr>
          <w:rFonts w:hint="eastAsia" w:ascii="仿宋_GB2312" w:hAnsi="仿宋_GB2312" w:eastAsia="仿宋_GB2312" w:cs="仿宋_GB2312"/>
          <w:color w:val="000000"/>
          <w:kern w:val="0"/>
          <w:sz w:val="32"/>
          <w:szCs w:val="32"/>
          <w:highlight w:val="none"/>
          <w:lang w:val="en-US" w:eastAsia="zh-CN"/>
        </w:rPr>
        <w:t>3.通过复试后，拟录取的应届考生需在规定时间内，与我院签署定向就业承诺书，否则视为自愿放弃，不予录取。</w:t>
      </w:r>
    </w:p>
    <w:p>
      <w:pPr>
        <w:keepNext w:val="0"/>
        <w:keepLines w:val="0"/>
        <w:pageBreakBefore w:val="0"/>
        <w:widowControl/>
        <w:kinsoku/>
        <w:wordWrap/>
        <w:overflowPunct/>
        <w:topLinePunct w:val="0"/>
        <w:autoSpaceDE/>
        <w:autoSpaceDN/>
        <w:bidi w:val="0"/>
        <w:adjustRightInd/>
        <w:snapToGrid/>
        <w:spacing w:line="500" w:lineRule="exact"/>
        <w:ind w:firstLine="640" w:firstLineChars="200"/>
        <w:jc w:val="both"/>
        <w:textAlignment w:val="auto"/>
        <w:rPr>
          <w:rFonts w:hint="eastAsia" w:ascii="仿宋_GB2312" w:hAnsi="仿宋_GB2312" w:eastAsia="仿宋_GB2312" w:cs="仿宋_GB2312"/>
          <w:color w:val="000000"/>
          <w:kern w:val="0"/>
          <w:sz w:val="32"/>
          <w:szCs w:val="32"/>
          <w:highlight w:val="none"/>
          <w:lang w:val="en-US" w:eastAsia="zh-CN"/>
        </w:rPr>
      </w:pPr>
    </w:p>
    <w:p>
      <w:pPr>
        <w:keepNext w:val="0"/>
        <w:keepLines w:val="0"/>
        <w:pageBreakBefore w:val="0"/>
        <w:widowControl/>
        <w:kinsoku/>
        <w:wordWrap/>
        <w:overflowPunct/>
        <w:topLinePunct w:val="0"/>
        <w:autoSpaceDE/>
        <w:autoSpaceDN/>
        <w:bidi w:val="0"/>
        <w:adjustRightInd/>
        <w:snapToGrid/>
        <w:spacing w:line="500" w:lineRule="exact"/>
        <w:ind w:firstLine="640" w:firstLineChars="200"/>
        <w:jc w:val="both"/>
        <w:textAlignment w:val="auto"/>
        <w:rPr>
          <w:rFonts w:hint="eastAsia" w:ascii="仿宋_GB2312" w:hAnsi="仿宋_GB2312" w:eastAsia="仿宋_GB2312" w:cs="仿宋_GB2312"/>
          <w:color w:val="000000"/>
          <w:kern w:val="0"/>
          <w:sz w:val="32"/>
          <w:szCs w:val="32"/>
          <w:highlight w:val="none"/>
          <w:u w:val="single"/>
          <w:lang w:val="en-US" w:eastAsia="zh-CN"/>
        </w:rPr>
      </w:pPr>
      <w:r>
        <w:rPr>
          <w:rFonts w:hint="eastAsia" w:ascii="仿宋_GB2312" w:hAnsi="仿宋_GB2312" w:eastAsia="仿宋_GB2312" w:cs="仿宋_GB2312"/>
          <w:color w:val="000000"/>
          <w:kern w:val="0"/>
          <w:sz w:val="32"/>
          <w:szCs w:val="32"/>
          <w:highlight w:val="none"/>
          <w:lang w:val="en-US" w:eastAsia="zh-CN"/>
        </w:rPr>
        <w:t xml:space="preserve">                      被告知人（签名）：</w:t>
      </w:r>
      <w:r>
        <w:rPr>
          <w:rFonts w:hint="eastAsia" w:ascii="仿宋_GB2312" w:hAnsi="仿宋_GB2312" w:eastAsia="仿宋_GB2312" w:cs="仿宋_GB2312"/>
          <w:color w:val="000000"/>
          <w:kern w:val="0"/>
          <w:sz w:val="32"/>
          <w:szCs w:val="32"/>
          <w:highlight w:val="none"/>
          <w:u w:val="single"/>
          <w:lang w:val="en-US" w:eastAsia="zh-CN"/>
        </w:rPr>
        <w:t xml:space="preserve">            </w:t>
      </w:r>
    </w:p>
    <w:p>
      <w:pPr>
        <w:keepNext w:val="0"/>
        <w:keepLines w:val="0"/>
        <w:pageBreakBefore w:val="0"/>
        <w:widowControl/>
        <w:kinsoku/>
        <w:wordWrap/>
        <w:overflowPunct/>
        <w:topLinePunct w:val="0"/>
        <w:autoSpaceDE/>
        <w:autoSpaceDN/>
        <w:bidi w:val="0"/>
        <w:adjustRightInd/>
        <w:snapToGrid/>
        <w:spacing w:line="500" w:lineRule="exact"/>
        <w:ind w:firstLine="640" w:firstLineChars="200"/>
        <w:jc w:val="both"/>
        <w:textAlignment w:val="auto"/>
        <w:rPr>
          <w:rFonts w:hint="eastAsia" w:ascii="仿宋_GB2312" w:hAnsi="仿宋_GB2312" w:eastAsia="仿宋_GB2312" w:cs="仿宋_GB2312"/>
          <w:color w:val="000000"/>
          <w:kern w:val="0"/>
          <w:sz w:val="32"/>
          <w:szCs w:val="32"/>
          <w:highlight w:val="none"/>
          <w:lang w:val="en-US" w:eastAsia="zh-CN"/>
        </w:rPr>
      </w:pPr>
      <w:r>
        <w:rPr>
          <w:rFonts w:hint="eastAsia" w:ascii="仿宋_GB2312" w:hAnsi="仿宋_GB2312" w:eastAsia="仿宋_GB2312" w:cs="仿宋_GB2312"/>
          <w:color w:val="000000"/>
          <w:kern w:val="0"/>
          <w:sz w:val="32"/>
          <w:szCs w:val="32"/>
          <w:highlight w:val="none"/>
          <w:u w:val="none"/>
          <w:lang w:val="en-US" w:eastAsia="zh-CN"/>
        </w:rPr>
        <w:t xml:space="preserve">                                   年     月     日</w:t>
      </w:r>
      <w:r>
        <w:rPr>
          <w:rFonts w:hint="eastAsia" w:ascii="仿宋_GB2312" w:hAnsi="仿宋_GB2312" w:eastAsia="仿宋_GB2312" w:cs="仿宋_GB2312"/>
          <w:color w:val="000000"/>
          <w:kern w:val="0"/>
          <w:sz w:val="32"/>
          <w:szCs w:val="32"/>
          <w:highlight w:val="none"/>
          <w:lang w:val="en-US" w:eastAsia="zh-CN"/>
        </w:rPr>
        <w:t xml:space="preserve">                                                            </w:t>
      </w:r>
    </w:p>
    <w:sectPr>
      <w:footerReference r:id="rId3" w:type="default"/>
      <w:pgSz w:w="11906" w:h="16838"/>
      <w:pgMar w:top="1587" w:right="1417" w:bottom="1417" w:left="1531" w:header="851" w:footer="992" w:gutter="0"/>
      <w:pgNumType w:fmt="numberInDash"/>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